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PART 2 - SOLICITATION FORMS</w:t>
      </w:r>
    </w:p>
    <w:p w14:paraId="0000000B">
      <w:pPr>
        <w:spacing w:line="360"/>
      </w:pPr>
    </w:p>
    <w:p w14:paraId="0000000C">
      <w:pPr>
        <w:pStyle w:val="Heading2"/>
        <w:spacing w:line="317" w:before="239" w:after="239"/>
      </w:pPr>
      <w:bookmarkStart w:name="section-522308" w:id="0"/>
      <w:r>
        <w:rPr>
          <w:sz w:val="29"/>
        </w:rPr>
        <w:t>1. PART 2 - SOLICITATION FORMS</w:t>
      </w:r>
      <w:bookmarkEnd w:id="0"/>
    </w:p>
    <w:p w14:paraId="0000000D">
      <w:pPr>
        <w:spacing w:line="360"/>
        <w:jc w:val="both"/>
      </w:pPr>
      <w:r>
        <w:t>The following exhibits and attachments of Part 2 of the solicitation template are the forms the Bidder must complete and return with the Proposal, SOW, administrative forms, qualification forms, bid requirement responses and all exhibits/attachments discussed in Part 1.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